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9EE1" w14:textId="77777777" w:rsidR="00234EB5" w:rsidRDefault="00234EB5">
      <w:pPr>
        <w:contextualSpacing/>
      </w:pPr>
      <w:r>
        <w:t>Mellem følgende selskaber</w:t>
      </w:r>
    </w:p>
    <w:p w14:paraId="51C54D35" w14:textId="77777777" w:rsidR="00D972F2" w:rsidRDefault="00D972F2">
      <w:pPr>
        <w:contextualSpacing/>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90F2D" w14:paraId="4E5BE736" w14:textId="77777777" w:rsidTr="00771375">
        <w:tc>
          <w:tcPr>
            <w:tcW w:w="4814" w:type="dxa"/>
          </w:tcPr>
          <w:p w14:paraId="2EA97D81" w14:textId="2E8C6F45" w:rsidR="00D90F2D" w:rsidRDefault="00211EC8">
            <w:pPr>
              <w:contextualSpacing/>
            </w:pPr>
            <w:r>
              <w:t>Selskab 1 ApS</w:t>
            </w:r>
          </w:p>
          <w:p w14:paraId="5BD48C9C" w14:textId="4EB3941F" w:rsidR="00D90F2D" w:rsidRDefault="00211EC8">
            <w:pPr>
              <w:contextualSpacing/>
            </w:pPr>
            <w:r>
              <w:t>S</w:t>
            </w:r>
            <w:r w:rsidR="00D90F2D">
              <w:t>kovvej</w:t>
            </w:r>
          </w:p>
          <w:p w14:paraId="40528E7A" w14:textId="478B0248" w:rsidR="00D90F2D" w:rsidRDefault="00D90F2D">
            <w:pPr>
              <w:contextualSpacing/>
            </w:pPr>
            <w:r>
              <w:t>42</w:t>
            </w:r>
            <w:r w:rsidR="00211EC8">
              <w:t>0</w:t>
            </w:r>
            <w:r>
              <w:t xml:space="preserve">0 </w:t>
            </w:r>
            <w:proofErr w:type="spellStart"/>
            <w:r w:rsidR="00211EC8">
              <w:t>Bykøbing</w:t>
            </w:r>
            <w:proofErr w:type="spellEnd"/>
          </w:p>
          <w:p w14:paraId="038AF9C1" w14:textId="5ADD712F" w:rsidR="00D90F2D" w:rsidRDefault="00D90F2D">
            <w:pPr>
              <w:contextualSpacing/>
            </w:pPr>
            <w:r>
              <w:t xml:space="preserve">CVR nr. </w:t>
            </w:r>
            <w:r w:rsidR="00211EC8">
              <w:t>12345678</w:t>
            </w:r>
          </w:p>
        </w:tc>
        <w:tc>
          <w:tcPr>
            <w:tcW w:w="4814" w:type="dxa"/>
          </w:tcPr>
          <w:p w14:paraId="0FD62D51" w14:textId="6A42DE06" w:rsidR="00D90F2D" w:rsidRDefault="00211EC8">
            <w:pPr>
              <w:contextualSpacing/>
            </w:pPr>
            <w:r>
              <w:t>Selskab 2 ApS</w:t>
            </w:r>
          </w:p>
          <w:p w14:paraId="230F880A" w14:textId="06EC1346" w:rsidR="00D90F2D" w:rsidRDefault="00211EC8">
            <w:pPr>
              <w:contextualSpacing/>
            </w:pPr>
            <w:r>
              <w:t>Skovvej</w:t>
            </w:r>
          </w:p>
          <w:p w14:paraId="4B16C033" w14:textId="54CD056F" w:rsidR="00D90F2D" w:rsidRDefault="00D90F2D">
            <w:pPr>
              <w:contextualSpacing/>
            </w:pPr>
            <w:r>
              <w:t>42</w:t>
            </w:r>
            <w:r w:rsidR="00211EC8">
              <w:t>0</w:t>
            </w:r>
            <w:r>
              <w:t xml:space="preserve">0 </w:t>
            </w:r>
            <w:proofErr w:type="spellStart"/>
            <w:r w:rsidR="00211EC8">
              <w:t>Bykøbing</w:t>
            </w:r>
            <w:proofErr w:type="spellEnd"/>
          </w:p>
          <w:p w14:paraId="7A625041" w14:textId="0C999257" w:rsidR="00D90F2D" w:rsidRDefault="00D90F2D">
            <w:pPr>
              <w:contextualSpacing/>
            </w:pPr>
            <w:r>
              <w:t xml:space="preserve">CVR nr. </w:t>
            </w:r>
            <w:r w:rsidR="00211EC8">
              <w:t>87654321</w:t>
            </w:r>
          </w:p>
          <w:p w14:paraId="059C0AED" w14:textId="737788BD" w:rsidR="00D90F2D" w:rsidRDefault="00D90F2D">
            <w:pPr>
              <w:contextualSpacing/>
            </w:pPr>
          </w:p>
        </w:tc>
      </w:tr>
      <w:tr w:rsidR="00D90F2D" w14:paraId="305D5860" w14:textId="77777777" w:rsidTr="00771375">
        <w:tc>
          <w:tcPr>
            <w:tcW w:w="4814" w:type="dxa"/>
          </w:tcPr>
          <w:p w14:paraId="2DDF3256" w14:textId="33511409" w:rsidR="00D90F2D" w:rsidRDefault="00211EC8">
            <w:pPr>
              <w:contextualSpacing/>
            </w:pPr>
            <w:r>
              <w:t>Selskab 3</w:t>
            </w:r>
            <w:r w:rsidR="00D90F2D">
              <w:t xml:space="preserve"> ApS</w:t>
            </w:r>
          </w:p>
          <w:p w14:paraId="5106614F" w14:textId="77777777" w:rsidR="00211EC8" w:rsidRDefault="00211EC8">
            <w:pPr>
              <w:contextualSpacing/>
            </w:pPr>
            <w:r>
              <w:t>S</w:t>
            </w:r>
            <w:r w:rsidR="00D90F2D">
              <w:t>kovvej</w:t>
            </w:r>
          </w:p>
          <w:p w14:paraId="5D62C673" w14:textId="7C5785FF" w:rsidR="00D90F2D" w:rsidRDefault="00D90F2D">
            <w:pPr>
              <w:contextualSpacing/>
            </w:pPr>
            <w:r>
              <w:t>42</w:t>
            </w:r>
            <w:r w:rsidR="00211EC8">
              <w:t>0</w:t>
            </w:r>
            <w:r>
              <w:t xml:space="preserve">0 </w:t>
            </w:r>
            <w:proofErr w:type="spellStart"/>
            <w:r w:rsidR="00211EC8">
              <w:t>Bykøbing</w:t>
            </w:r>
            <w:proofErr w:type="spellEnd"/>
          </w:p>
          <w:p w14:paraId="36C1D68A" w14:textId="24FB6BEF" w:rsidR="00D90F2D" w:rsidRDefault="00D90F2D">
            <w:pPr>
              <w:contextualSpacing/>
            </w:pPr>
            <w:r>
              <w:t xml:space="preserve">CVR nr. </w:t>
            </w:r>
            <w:r w:rsidR="00211EC8">
              <w:t>13579111</w:t>
            </w:r>
          </w:p>
        </w:tc>
        <w:tc>
          <w:tcPr>
            <w:tcW w:w="4814" w:type="dxa"/>
          </w:tcPr>
          <w:p w14:paraId="4EE66BC3" w14:textId="426351CD" w:rsidR="00D90F2D" w:rsidRDefault="00211EC8">
            <w:pPr>
              <w:contextualSpacing/>
            </w:pPr>
            <w:r>
              <w:t>Selskab 4</w:t>
            </w:r>
            <w:r w:rsidR="00D90F2D">
              <w:t xml:space="preserve"> ApS</w:t>
            </w:r>
          </w:p>
          <w:p w14:paraId="64E35803" w14:textId="78FD2006" w:rsidR="00D90F2D" w:rsidRDefault="00211EC8">
            <w:pPr>
              <w:contextualSpacing/>
            </w:pPr>
            <w:r>
              <w:t>Skovvej</w:t>
            </w:r>
          </w:p>
          <w:p w14:paraId="7F6693CA" w14:textId="6A4620AE" w:rsidR="00D90F2D" w:rsidRDefault="00D90F2D">
            <w:pPr>
              <w:contextualSpacing/>
            </w:pPr>
            <w:r>
              <w:t>42</w:t>
            </w:r>
            <w:r w:rsidR="00211EC8">
              <w:t>0</w:t>
            </w:r>
            <w:r>
              <w:t xml:space="preserve">0 </w:t>
            </w:r>
            <w:proofErr w:type="spellStart"/>
            <w:r w:rsidR="00211EC8">
              <w:t>Bykøbing</w:t>
            </w:r>
            <w:proofErr w:type="spellEnd"/>
          </w:p>
          <w:p w14:paraId="45503064" w14:textId="0A06B95F" w:rsidR="00D90F2D" w:rsidRDefault="00D90F2D">
            <w:pPr>
              <w:contextualSpacing/>
            </w:pPr>
            <w:r>
              <w:t xml:space="preserve">CVR nr. </w:t>
            </w:r>
            <w:r w:rsidR="00211EC8">
              <w:t>24681012</w:t>
            </w:r>
          </w:p>
        </w:tc>
      </w:tr>
    </w:tbl>
    <w:p w14:paraId="53AB0D62" w14:textId="77777777" w:rsidR="00234EB5" w:rsidRDefault="00234EB5">
      <w:pPr>
        <w:contextualSpacing/>
      </w:pPr>
    </w:p>
    <w:p w14:paraId="75C9EFA5" w14:textId="1F370512" w:rsidR="00914C2E" w:rsidRDefault="00234EB5">
      <w:pPr>
        <w:contextualSpacing/>
      </w:pPr>
      <w:r>
        <w:t xml:space="preserve">er der dags dato </w:t>
      </w:r>
      <w:r w:rsidR="00D90F2D">
        <w:t xml:space="preserve">indgået følgende aftale om </w:t>
      </w:r>
      <w:r w:rsidR="00D972F2">
        <w:t>udveksling af likvide midler vedrørende udlån/mellemregninger selskaberne imellem.</w:t>
      </w:r>
    </w:p>
    <w:p w14:paraId="4CBD6E2C" w14:textId="77777777" w:rsidR="00D972F2" w:rsidRDefault="00D972F2">
      <w:pPr>
        <w:contextualSpacing/>
      </w:pPr>
    </w:p>
    <w:p w14:paraId="54F97E51" w14:textId="77777777" w:rsidR="00942846" w:rsidRDefault="00942846">
      <w:pPr>
        <w:contextualSpacing/>
      </w:pPr>
    </w:p>
    <w:p w14:paraId="04D08E2D" w14:textId="3285E452" w:rsidR="00E84744" w:rsidRPr="00E84744" w:rsidRDefault="00E84744">
      <w:pPr>
        <w:contextualSpacing/>
        <w:rPr>
          <w:b/>
          <w:bCs/>
        </w:rPr>
      </w:pPr>
      <w:r w:rsidRPr="00E84744">
        <w:rPr>
          <w:b/>
          <w:bCs/>
        </w:rPr>
        <w:t>Indledning</w:t>
      </w:r>
    </w:p>
    <w:p w14:paraId="49F7CBFE" w14:textId="77777777" w:rsidR="00E84744" w:rsidRDefault="00E84744">
      <w:pPr>
        <w:contextualSpacing/>
      </w:pPr>
    </w:p>
    <w:p w14:paraId="0180B4FE" w14:textId="3B7F6A65" w:rsidR="00D972F2" w:rsidRDefault="00D972F2">
      <w:pPr>
        <w:contextualSpacing/>
      </w:pPr>
      <w:r>
        <w:t>Aftalen er udarbejdet for at opfylde betingelserne i selskabslovens §</w:t>
      </w:r>
      <w:r w:rsidR="00771375">
        <w:t xml:space="preserve"> 118, stk. 2 samt § 127</w:t>
      </w:r>
      <w:r w:rsidR="000206FE">
        <w:t>.</w:t>
      </w:r>
    </w:p>
    <w:p w14:paraId="1F064D55" w14:textId="77777777" w:rsidR="00D972F2" w:rsidRDefault="00D972F2">
      <w:pPr>
        <w:contextualSpacing/>
      </w:pPr>
    </w:p>
    <w:p w14:paraId="2FAF7AA3" w14:textId="73DA0EB2" w:rsidR="00D972F2" w:rsidRDefault="00D972F2">
      <w:pPr>
        <w:contextualSpacing/>
      </w:pPr>
      <w:r>
        <w:t xml:space="preserve">Alle udlån inden for de fire selskaber sker via </w:t>
      </w:r>
      <w:r w:rsidR="00211EC8">
        <w:t>Selskabs 1 ApS</w:t>
      </w:r>
      <w:r>
        <w:t xml:space="preserve"> (herefter kaldet moderselskabet). Er </w:t>
      </w:r>
      <w:r w:rsidR="00E84744">
        <w:t xml:space="preserve">et </w:t>
      </w:r>
      <w:r>
        <w:t xml:space="preserve">beløb sendt direkte fra et </w:t>
      </w:r>
      <w:r w:rsidR="000206FE">
        <w:t>datter</w:t>
      </w:r>
      <w:r>
        <w:t>selskab til et andet</w:t>
      </w:r>
      <w:r w:rsidR="000206FE">
        <w:t xml:space="preserve"> datterselskab</w:t>
      </w:r>
      <w:r>
        <w:t>, skal lånet føres i bogføringen</w:t>
      </w:r>
      <w:r w:rsidR="00E84744">
        <w:t>,</w:t>
      </w:r>
      <w:r>
        <w:t xml:space="preserve"> som om lånet har været overført via moderselskabet.</w:t>
      </w:r>
    </w:p>
    <w:p w14:paraId="223D180C" w14:textId="77777777" w:rsidR="00440F12" w:rsidRDefault="00440F12">
      <w:pPr>
        <w:contextualSpacing/>
      </w:pPr>
    </w:p>
    <w:p w14:paraId="7C11B1DE" w14:textId="5E8D27F0" w:rsidR="00440F12" w:rsidRDefault="00440F12">
      <w:pPr>
        <w:contextualSpacing/>
      </w:pPr>
      <w:r>
        <w:t xml:space="preserve">Et selskab kan optræde i ordningen enten som </w:t>
      </w:r>
      <w:r w:rsidR="008F4894">
        <w:t>långiver</w:t>
      </w:r>
      <w:r>
        <w:t xml:space="preserve"> (det selskab som har udlånt beløbet)</w:t>
      </w:r>
      <w:r w:rsidR="00771375">
        <w:t>,</w:t>
      </w:r>
      <w:r>
        <w:t xml:space="preserve"> eller som </w:t>
      </w:r>
      <w:r w:rsidR="008F4894">
        <w:t>låntager</w:t>
      </w:r>
      <w:r>
        <w:t xml:space="preserve"> (det selskab som har modtaget beløbet)</w:t>
      </w:r>
      <w:r w:rsidR="00771375">
        <w:t>.</w:t>
      </w:r>
    </w:p>
    <w:p w14:paraId="22D3A00A" w14:textId="77777777" w:rsidR="00440F12" w:rsidRDefault="00440F12">
      <w:pPr>
        <w:contextualSpacing/>
      </w:pPr>
    </w:p>
    <w:p w14:paraId="306703BB" w14:textId="77777777" w:rsidR="00942846" w:rsidRDefault="00942846">
      <w:pPr>
        <w:contextualSpacing/>
      </w:pPr>
    </w:p>
    <w:p w14:paraId="233B7A3D" w14:textId="593CFC2F" w:rsidR="00771375" w:rsidRPr="00771375" w:rsidRDefault="00771375">
      <w:pPr>
        <w:contextualSpacing/>
        <w:rPr>
          <w:b/>
          <w:bCs/>
        </w:rPr>
      </w:pPr>
      <w:r w:rsidRPr="00771375">
        <w:rPr>
          <w:b/>
          <w:bCs/>
        </w:rPr>
        <w:t xml:space="preserve">Hvis et selskab optræder som </w:t>
      </w:r>
      <w:r w:rsidR="008F4894">
        <w:rPr>
          <w:b/>
          <w:bCs/>
        </w:rPr>
        <w:t>långiver</w:t>
      </w:r>
      <w:r w:rsidRPr="00771375">
        <w:rPr>
          <w:b/>
          <w:bCs/>
        </w:rPr>
        <w:t>:</w:t>
      </w:r>
    </w:p>
    <w:p w14:paraId="2ED413C6" w14:textId="77777777" w:rsidR="00771375" w:rsidRDefault="00771375">
      <w:pPr>
        <w:contextualSpacing/>
      </w:pPr>
    </w:p>
    <w:p w14:paraId="13F44509" w14:textId="6AA100F3" w:rsidR="00771375" w:rsidRDefault="00771375">
      <w:pPr>
        <w:contextualSpacing/>
      </w:pPr>
      <w:r>
        <w:t xml:space="preserve">Selskabet har med tiltrædelse af </w:t>
      </w:r>
      <w:r w:rsidR="00A3677B">
        <w:t>denne</w:t>
      </w:r>
      <w:r>
        <w:t xml:space="preserve"> aftale anerkendt at have foretaget en kreditvurdering af </w:t>
      </w:r>
      <w:r w:rsidR="008F4894">
        <w:t>låntager</w:t>
      </w:r>
      <w:r>
        <w:t xml:space="preserve"> ud fra </w:t>
      </w:r>
      <w:r w:rsidR="008F4894">
        <w:t>låntager</w:t>
      </w:r>
      <w:r>
        <w:t>s seneste aflagte årsrapport.</w:t>
      </w:r>
    </w:p>
    <w:p w14:paraId="52545344" w14:textId="77777777" w:rsidR="00A3677B" w:rsidRDefault="00A3677B">
      <w:pPr>
        <w:contextualSpacing/>
      </w:pPr>
    </w:p>
    <w:p w14:paraId="30E2CE62" w14:textId="6819329F" w:rsidR="00A3677B" w:rsidRDefault="008F4894">
      <w:pPr>
        <w:contextualSpacing/>
      </w:pPr>
      <w:r>
        <w:t>Långiver</w:t>
      </w:r>
      <w:r w:rsidR="00A3677B">
        <w:t xml:space="preserve"> har desuden med tiltrædelsen af denne aftale anerkendt, at sikkerheden for udlånet i form af pantsætningsforbud og begrænsning af udbytte </w:t>
      </w:r>
      <w:r>
        <w:t>hos</w:t>
      </w:r>
      <w:r w:rsidR="00A3677B">
        <w:t xml:space="preserve"> </w:t>
      </w:r>
      <w:r>
        <w:t>låntager</w:t>
      </w:r>
      <w:r w:rsidR="00A3677B">
        <w:t xml:space="preserve"> anses for tilstrækkelig.</w:t>
      </w:r>
    </w:p>
    <w:p w14:paraId="70C45076" w14:textId="77777777" w:rsidR="00A3677B" w:rsidRDefault="00A3677B">
      <w:pPr>
        <w:contextualSpacing/>
      </w:pPr>
    </w:p>
    <w:p w14:paraId="0C396498" w14:textId="020CBD37" w:rsidR="00942846" w:rsidRDefault="008F4894">
      <w:pPr>
        <w:contextualSpacing/>
      </w:pPr>
      <w:r>
        <w:t>Långiver</w:t>
      </w:r>
      <w:r w:rsidR="00A3677B">
        <w:t xml:space="preserve"> vil løbende vurdere størrelsen af udlån i forhold til eget kapitalberedskab.</w:t>
      </w:r>
    </w:p>
    <w:p w14:paraId="68261D66" w14:textId="77777777" w:rsidR="00A3677B" w:rsidRDefault="00A3677B">
      <w:pPr>
        <w:contextualSpacing/>
      </w:pPr>
    </w:p>
    <w:p w14:paraId="4DB443BA" w14:textId="64F8DF40" w:rsidR="00A3677B" w:rsidRDefault="008F4894">
      <w:pPr>
        <w:contextualSpacing/>
      </w:pPr>
      <w:r>
        <w:t>Långiver</w:t>
      </w:r>
      <w:r w:rsidR="00A3677B">
        <w:t xml:space="preserve"> </w:t>
      </w:r>
      <w:r w:rsidR="00942846">
        <w:t>har ret til</w:t>
      </w:r>
      <w:r w:rsidR="00A3677B">
        <w:t xml:space="preserve"> ved udarbejdelsen af årsrapporten – og hvis det er muligt inden for lovens rammer – </w:t>
      </w:r>
      <w:r w:rsidR="00942846">
        <w:t xml:space="preserve">at </w:t>
      </w:r>
      <w:r w:rsidR="00A3677B">
        <w:t>sørge for:</w:t>
      </w:r>
    </w:p>
    <w:p w14:paraId="18922243" w14:textId="01BC3E55" w:rsidR="00A3677B" w:rsidRDefault="00942846" w:rsidP="00A3677B">
      <w:pPr>
        <w:pStyle w:val="Listeafsnit"/>
        <w:numPr>
          <w:ilvl w:val="0"/>
          <w:numId w:val="1"/>
        </w:numPr>
      </w:pPr>
      <w:r>
        <w:lastRenderedPageBreak/>
        <w:t>e</w:t>
      </w:r>
      <w:r w:rsidR="00A3677B">
        <w:t xml:space="preserve">ftergive </w:t>
      </w:r>
      <w:r w:rsidR="008F4894">
        <w:t>låntagers</w:t>
      </w:r>
      <w:r w:rsidR="00A3677B">
        <w:t xml:space="preserve"> saldo på mellemregningen som et koncerninternt tilskud, hvis det er holdingselskabet, som er </w:t>
      </w:r>
      <w:r w:rsidR="008F4894">
        <w:t>långiver</w:t>
      </w:r>
      <w:r w:rsidR="00A3677B">
        <w:t>.</w:t>
      </w:r>
    </w:p>
    <w:p w14:paraId="2CF3D532" w14:textId="66E15D7B" w:rsidR="00A3677B" w:rsidRDefault="00942846" w:rsidP="00A3677B">
      <w:pPr>
        <w:pStyle w:val="Listeafsnit"/>
        <w:numPr>
          <w:ilvl w:val="0"/>
          <w:numId w:val="1"/>
        </w:numPr>
      </w:pPr>
      <w:r>
        <w:t>e</w:t>
      </w:r>
      <w:r w:rsidR="00A3677B">
        <w:t xml:space="preserve">ftergive </w:t>
      </w:r>
      <w:r w:rsidR="008F4894">
        <w:t>låntagers</w:t>
      </w:r>
      <w:r w:rsidR="00A3677B">
        <w:t xml:space="preserve"> saldo på mellemregningen som et udbytte, hvis det er et datterselskab, som er </w:t>
      </w:r>
      <w:r w:rsidR="008F4894">
        <w:t>långiver</w:t>
      </w:r>
      <w:r w:rsidR="00A3677B">
        <w:t>.</w:t>
      </w:r>
    </w:p>
    <w:p w14:paraId="5ABEFC89" w14:textId="77777777" w:rsidR="00771375" w:rsidRDefault="00771375">
      <w:pPr>
        <w:contextualSpacing/>
      </w:pPr>
    </w:p>
    <w:p w14:paraId="2FFD7C16" w14:textId="77777777" w:rsidR="00771375" w:rsidRDefault="00771375">
      <w:pPr>
        <w:contextualSpacing/>
      </w:pPr>
    </w:p>
    <w:p w14:paraId="2826B793" w14:textId="0F9D20E1" w:rsidR="00771375" w:rsidRPr="00771375" w:rsidRDefault="00771375">
      <w:pPr>
        <w:contextualSpacing/>
        <w:rPr>
          <w:b/>
          <w:bCs/>
        </w:rPr>
      </w:pPr>
      <w:r w:rsidRPr="00771375">
        <w:rPr>
          <w:b/>
          <w:bCs/>
        </w:rPr>
        <w:t xml:space="preserve">Hvis et selskab optræder som </w:t>
      </w:r>
      <w:r w:rsidR="008F4894">
        <w:rPr>
          <w:b/>
          <w:bCs/>
        </w:rPr>
        <w:t>låntager</w:t>
      </w:r>
      <w:r w:rsidRPr="00771375">
        <w:rPr>
          <w:b/>
          <w:bCs/>
        </w:rPr>
        <w:t>:</w:t>
      </w:r>
    </w:p>
    <w:p w14:paraId="64B52812" w14:textId="77777777" w:rsidR="00771375" w:rsidRDefault="00771375">
      <w:pPr>
        <w:contextualSpacing/>
      </w:pPr>
    </w:p>
    <w:p w14:paraId="68087680" w14:textId="1B66E483" w:rsidR="00771375" w:rsidRDefault="008F4894">
      <w:pPr>
        <w:contextualSpacing/>
      </w:pPr>
      <w:r>
        <w:t>Låntager</w:t>
      </w:r>
      <w:r w:rsidR="00771375">
        <w:t xml:space="preserve"> har med tiltrædelse af nærværende aftale anerkendt et pantsætningsforbud samt begrænsning i vedtagelse af udbytte.</w:t>
      </w:r>
    </w:p>
    <w:p w14:paraId="7DA5E061" w14:textId="77777777" w:rsidR="00771375" w:rsidRDefault="00771375">
      <w:pPr>
        <w:contextualSpacing/>
      </w:pPr>
    </w:p>
    <w:p w14:paraId="47BB29AD" w14:textId="75E7143E" w:rsidR="00771375" w:rsidRDefault="00771375">
      <w:pPr>
        <w:contextualSpacing/>
      </w:pPr>
      <w:r>
        <w:t>Udbytte kan kun vedtages</w:t>
      </w:r>
      <w:r w:rsidR="00A3677B">
        <w:t>,</w:t>
      </w:r>
      <w:r>
        <w:t xml:space="preserve"> hvis størrelsen herpå godkendes skriftligt af </w:t>
      </w:r>
      <w:r w:rsidR="008F4894">
        <w:t>långiver</w:t>
      </w:r>
      <w:r>
        <w:t>.</w:t>
      </w:r>
    </w:p>
    <w:p w14:paraId="7C2CF1A5" w14:textId="77777777" w:rsidR="00771375" w:rsidRDefault="00771375">
      <w:pPr>
        <w:contextualSpacing/>
      </w:pPr>
    </w:p>
    <w:p w14:paraId="0F1A56DD" w14:textId="026FCCB6" w:rsidR="00771375" w:rsidRDefault="00771375">
      <w:pPr>
        <w:contextualSpacing/>
      </w:pPr>
      <w:r>
        <w:t>Pantsætningsforbuddet omfatter aktiver</w:t>
      </w:r>
      <w:r w:rsidR="00942846">
        <w:t>,</w:t>
      </w:r>
      <w:r>
        <w:t xml:space="preserve"> der ikke var stillet til sikkerhed tidligere jf. sidst aflagte årsrapport.</w:t>
      </w:r>
    </w:p>
    <w:p w14:paraId="51D68C4D" w14:textId="77777777" w:rsidR="00771375" w:rsidRDefault="00771375">
      <w:pPr>
        <w:contextualSpacing/>
      </w:pPr>
    </w:p>
    <w:p w14:paraId="2EC026C2" w14:textId="6916FCA2" w:rsidR="00771375" w:rsidRDefault="00771375">
      <w:pPr>
        <w:contextualSpacing/>
      </w:pPr>
      <w:r>
        <w:t xml:space="preserve">Pantsætningsforbuddet omfatter ikke </w:t>
      </w:r>
      <w:r w:rsidR="00A3677B">
        <w:t xml:space="preserve">nyindkøbte aktiver, der </w:t>
      </w:r>
      <w:r w:rsidR="00942846">
        <w:t>bliver</w:t>
      </w:r>
      <w:r w:rsidR="00A3677B">
        <w:t xml:space="preserve"> finansieret af tredje part uden for koncernen.</w:t>
      </w:r>
    </w:p>
    <w:p w14:paraId="3722D5D4" w14:textId="77777777" w:rsidR="00A3677B" w:rsidRDefault="00A3677B">
      <w:pPr>
        <w:contextualSpacing/>
      </w:pPr>
    </w:p>
    <w:p w14:paraId="3E1E0ACE" w14:textId="3E114A70" w:rsidR="00A3677B" w:rsidRDefault="008F4894">
      <w:pPr>
        <w:contextualSpacing/>
      </w:pPr>
      <w:r>
        <w:t>Låntager</w:t>
      </w:r>
      <w:r w:rsidR="00A3677B">
        <w:t xml:space="preserve"> anerkender </w:t>
      </w:r>
      <w:r>
        <w:t>långiver</w:t>
      </w:r>
      <w:r w:rsidR="00E84744">
        <w:t>s ret til at konvertere saldoen på mellemregning til hhv. udbytte eller koncerninternt tilskud ved udarbejdelsen af selskabernes årsrapporter.</w:t>
      </w:r>
    </w:p>
    <w:p w14:paraId="63B3AB80" w14:textId="77777777" w:rsidR="00E84744" w:rsidRDefault="00E84744">
      <w:pPr>
        <w:contextualSpacing/>
      </w:pPr>
    </w:p>
    <w:p w14:paraId="3C45235C" w14:textId="77777777" w:rsidR="00E84744" w:rsidRDefault="00E84744">
      <w:pPr>
        <w:contextualSpacing/>
      </w:pPr>
    </w:p>
    <w:p w14:paraId="61FE8F0B" w14:textId="12C5D5E3" w:rsidR="00E84744" w:rsidRPr="00E84744" w:rsidRDefault="00E84744">
      <w:pPr>
        <w:contextualSpacing/>
        <w:rPr>
          <w:b/>
          <w:bCs/>
        </w:rPr>
      </w:pPr>
      <w:r w:rsidRPr="00E84744">
        <w:rPr>
          <w:b/>
          <w:bCs/>
        </w:rPr>
        <w:t>Generelt</w:t>
      </w:r>
    </w:p>
    <w:p w14:paraId="21FF7AAE" w14:textId="77777777" w:rsidR="00E84744" w:rsidRDefault="00E84744">
      <w:pPr>
        <w:contextualSpacing/>
      </w:pPr>
    </w:p>
    <w:p w14:paraId="0731DD92" w14:textId="4C5BD5AA" w:rsidR="00A3677B" w:rsidRDefault="00E84744">
      <w:pPr>
        <w:contextualSpacing/>
      </w:pPr>
      <w:r>
        <w:t>Denne aftale genforhandles hvert år, når alle involverede selskaber har aflagt og godkendt årsrapporten.</w:t>
      </w:r>
    </w:p>
    <w:p w14:paraId="20ECDBD8" w14:textId="77777777" w:rsidR="008F4894" w:rsidRDefault="008F4894">
      <w:pPr>
        <w:contextualSpacing/>
      </w:pPr>
    </w:p>
    <w:p w14:paraId="4ADF3181" w14:textId="38618859" w:rsidR="008F4894" w:rsidRDefault="008F4894">
      <w:pPr>
        <w:contextualSpacing/>
      </w:pPr>
      <w:r w:rsidRPr="008F4894">
        <w:t>Hvis der ikke sker eftergivelse, forpligter låntager sig til at tilbagebetale hele beløbet inden for 12 måneder fra balancedagen. Långiver og låntager kan indgå en separat aftale om tilbagebetaling over en længere periode, fx 5 år. En sådan aftale skal dokumenteres ved oprettelse af en formel låneaftale.</w:t>
      </w:r>
    </w:p>
    <w:p w14:paraId="5466BB9F" w14:textId="77777777" w:rsidR="00E84744" w:rsidRDefault="00E84744">
      <w:pPr>
        <w:contextualSpacing/>
      </w:pPr>
    </w:p>
    <w:p w14:paraId="0E9CA66D" w14:textId="231278E8" w:rsidR="00E84744" w:rsidRDefault="00E84744">
      <w:pPr>
        <w:contextualSpacing/>
      </w:pPr>
      <w:r>
        <w:t xml:space="preserve">Alle mellemregninger forrentes en gang årligt </w:t>
      </w:r>
      <w:r w:rsidR="00942846">
        <w:t xml:space="preserve">pr. 31. december </w:t>
      </w:r>
      <w:r>
        <w:t>med en rente svarende gennemsnittet af de kreditfaciliteter fra pengeinstitut, som stilles til rådighed til et eller flere selskaber i koncernen.</w:t>
      </w:r>
    </w:p>
    <w:p w14:paraId="4B3566A3" w14:textId="77777777" w:rsidR="00771375" w:rsidRDefault="00771375">
      <w:pPr>
        <w:contextualSpacing/>
      </w:pPr>
    </w:p>
    <w:p w14:paraId="5349EDFF" w14:textId="25478F77" w:rsidR="00E84744" w:rsidRDefault="00E84744">
      <w:pPr>
        <w:contextualSpacing/>
      </w:pPr>
      <w:r>
        <w:t>Den anvendte rentesats må svinge med op til +/- 1,0 procentpoint i forhold rentesatsen fra pengeinstitut.</w:t>
      </w:r>
    </w:p>
    <w:p w14:paraId="446468F0" w14:textId="77777777" w:rsidR="007F4E66" w:rsidRDefault="007F4E66">
      <w:pPr>
        <w:contextualSpacing/>
      </w:pPr>
    </w:p>
    <w:p w14:paraId="266A9359" w14:textId="4049FF57" w:rsidR="007F4E66" w:rsidRDefault="00942846">
      <w:pPr>
        <w:contextualSpacing/>
      </w:pPr>
      <w:r>
        <w:t>Hvis saldoen på en mellemregning har udviklet sig jævnt igennem året</w:t>
      </w:r>
      <w:r w:rsidR="00C81A9D">
        <w:t>,</w:t>
      </w:r>
      <w:r>
        <w:t xml:space="preserve"> kan renten beregnes ud fra et gennemsnit af saldoen primo året og ultimo året.</w:t>
      </w:r>
    </w:p>
    <w:p w14:paraId="5896B12D" w14:textId="77777777" w:rsidR="00942846" w:rsidRDefault="00942846">
      <w:pPr>
        <w:contextualSpacing/>
      </w:pPr>
    </w:p>
    <w:p w14:paraId="381C2FF9" w14:textId="77777777" w:rsidR="00942846" w:rsidRDefault="00942846">
      <w:pPr>
        <w:contextualSpacing/>
      </w:pPr>
    </w:p>
    <w:p w14:paraId="59CC3C06" w14:textId="036B02EB" w:rsidR="00942846" w:rsidRDefault="00942846">
      <w:pPr>
        <w:contextualSpacing/>
      </w:pPr>
      <w:r>
        <w:t>Således tiltrædes:</w:t>
      </w:r>
    </w:p>
    <w:p w14:paraId="4825CF9B" w14:textId="77777777" w:rsidR="00942846" w:rsidRDefault="00942846">
      <w:pPr>
        <w:contextualSpacing/>
      </w:pPr>
    </w:p>
    <w:p w14:paraId="34746A03" w14:textId="675A6F4C" w:rsidR="000E431B" w:rsidRDefault="00211EC8">
      <w:pPr>
        <w:contextualSpacing/>
      </w:pPr>
      <w:proofErr w:type="spellStart"/>
      <w:r>
        <w:t>Bykøbing</w:t>
      </w:r>
      <w:proofErr w:type="spellEnd"/>
      <w:r w:rsidR="000E431B">
        <w:t>, den 18. december 2025</w:t>
      </w:r>
    </w:p>
    <w:p w14:paraId="2D15AC60" w14:textId="77777777" w:rsidR="000E431B" w:rsidRDefault="000E431B">
      <w:pPr>
        <w:contextualSpacing/>
      </w:pPr>
    </w:p>
    <w:p w14:paraId="2F89881A" w14:textId="77777777" w:rsidR="000E431B" w:rsidRDefault="000E431B">
      <w:pPr>
        <w:contextualSpacing/>
      </w:pPr>
    </w:p>
    <w:p w14:paraId="0A27F3E3" w14:textId="75BA6AA2" w:rsidR="000E431B" w:rsidRDefault="000E431B">
      <w:pPr>
        <w:contextualSpacing/>
      </w:pPr>
    </w:p>
    <w:p w14:paraId="18D6888A" w14:textId="7AE37562" w:rsidR="000E431B" w:rsidRDefault="00211EC8">
      <w:pPr>
        <w:contextualSpacing/>
      </w:pPr>
      <w:r>
        <w:t>Selskab 1 ApS</w:t>
      </w:r>
      <w:r>
        <w:tab/>
      </w:r>
      <w:r>
        <w:tab/>
      </w:r>
      <w:r w:rsidR="000E431B">
        <w:tab/>
      </w:r>
      <w:r>
        <w:t>Selskab 2</w:t>
      </w:r>
      <w:r w:rsidR="000E431B">
        <w:t xml:space="preserve"> ApS</w:t>
      </w:r>
    </w:p>
    <w:p w14:paraId="05B4F239" w14:textId="77777777" w:rsidR="000E431B" w:rsidRDefault="000E431B">
      <w:pPr>
        <w:contextualSpacing/>
      </w:pPr>
    </w:p>
    <w:p w14:paraId="6BD4183B" w14:textId="6249F9F7" w:rsidR="00E84744" w:rsidRDefault="00211EC8" w:rsidP="000E431B">
      <w:pPr>
        <w:contextualSpacing/>
      </w:pPr>
      <w:r>
        <w:t>NN</w:t>
      </w:r>
      <w:r w:rsidR="000E431B">
        <w:tab/>
      </w:r>
      <w:r w:rsidR="000E431B">
        <w:tab/>
      </w:r>
      <w:r w:rsidR="000E431B">
        <w:tab/>
      </w:r>
      <w:r>
        <w:tab/>
      </w:r>
      <w:proofErr w:type="spellStart"/>
      <w:r>
        <w:t>NN</w:t>
      </w:r>
      <w:proofErr w:type="spellEnd"/>
    </w:p>
    <w:p w14:paraId="53775D6A" w14:textId="51E00C47" w:rsidR="00E84744" w:rsidRDefault="000E431B">
      <w:pPr>
        <w:contextualSpacing/>
      </w:pPr>
      <w:r>
        <w:t>Direktør</w:t>
      </w:r>
      <w:r>
        <w:tab/>
      </w:r>
      <w:r>
        <w:tab/>
      </w:r>
      <w:r>
        <w:tab/>
      </w:r>
      <w:r>
        <w:tab/>
      </w:r>
      <w:proofErr w:type="spellStart"/>
      <w:r>
        <w:t>Direktør</w:t>
      </w:r>
      <w:proofErr w:type="spellEnd"/>
    </w:p>
    <w:p w14:paraId="1670DCF9" w14:textId="77777777" w:rsidR="000E431B" w:rsidRDefault="000E431B">
      <w:pPr>
        <w:contextualSpacing/>
      </w:pPr>
    </w:p>
    <w:p w14:paraId="7F3525B7" w14:textId="77777777" w:rsidR="000E431B" w:rsidRDefault="000E431B">
      <w:pPr>
        <w:contextualSpacing/>
      </w:pPr>
    </w:p>
    <w:p w14:paraId="3F725E22" w14:textId="77777777" w:rsidR="000E431B" w:rsidRDefault="000E431B">
      <w:pPr>
        <w:contextualSpacing/>
      </w:pPr>
    </w:p>
    <w:p w14:paraId="303CF303" w14:textId="77777777" w:rsidR="000E431B" w:rsidRDefault="000E431B">
      <w:pPr>
        <w:contextualSpacing/>
      </w:pPr>
    </w:p>
    <w:p w14:paraId="0FF1784A" w14:textId="733E4A52" w:rsidR="000E431B" w:rsidRDefault="00211EC8">
      <w:pPr>
        <w:contextualSpacing/>
      </w:pPr>
      <w:r>
        <w:t>Selskab 3 ApS</w:t>
      </w:r>
      <w:r>
        <w:tab/>
      </w:r>
      <w:r>
        <w:tab/>
      </w:r>
      <w:r>
        <w:tab/>
        <w:t>Selskab 4 ApS</w:t>
      </w:r>
    </w:p>
    <w:p w14:paraId="62A8A242" w14:textId="77777777" w:rsidR="00211EC8" w:rsidRDefault="00211EC8" w:rsidP="000E431B">
      <w:pPr>
        <w:contextualSpacing/>
      </w:pPr>
    </w:p>
    <w:p w14:paraId="179D0773" w14:textId="7D3E1859" w:rsidR="000E431B" w:rsidRDefault="00211EC8" w:rsidP="000E431B">
      <w:pPr>
        <w:contextualSpacing/>
      </w:pPr>
      <w:r>
        <w:t>NN</w:t>
      </w:r>
      <w:r w:rsidR="000E431B">
        <w:tab/>
      </w:r>
      <w:r w:rsidR="000E431B">
        <w:tab/>
      </w:r>
      <w:r w:rsidR="000E431B">
        <w:tab/>
      </w:r>
      <w:r>
        <w:tab/>
      </w:r>
      <w:proofErr w:type="spellStart"/>
      <w:r>
        <w:t>NN</w:t>
      </w:r>
      <w:proofErr w:type="spellEnd"/>
    </w:p>
    <w:p w14:paraId="7E338890" w14:textId="21921A84" w:rsidR="000E431B" w:rsidRDefault="000E431B" w:rsidP="000E431B">
      <w:pPr>
        <w:contextualSpacing/>
      </w:pPr>
      <w:r>
        <w:t>Direktør</w:t>
      </w:r>
      <w:r>
        <w:tab/>
      </w:r>
      <w:r>
        <w:tab/>
      </w:r>
      <w:r>
        <w:tab/>
      </w:r>
      <w:r>
        <w:tab/>
      </w:r>
      <w:proofErr w:type="spellStart"/>
      <w:r>
        <w:t>Direktør</w:t>
      </w:r>
      <w:proofErr w:type="spellEnd"/>
      <w:r>
        <w:t xml:space="preserve"> </w:t>
      </w:r>
    </w:p>
    <w:p w14:paraId="4FFA4B25" w14:textId="77777777" w:rsidR="000E431B" w:rsidRDefault="000E431B">
      <w:pPr>
        <w:contextualSpacing/>
      </w:pPr>
    </w:p>
    <w:sectPr w:rsidR="000E431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375BD"/>
    <w:multiLevelType w:val="hybridMultilevel"/>
    <w:tmpl w:val="6570E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2134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B5"/>
    <w:rsid w:val="000206FE"/>
    <w:rsid w:val="000E431B"/>
    <w:rsid w:val="00211EC8"/>
    <w:rsid w:val="00234EB5"/>
    <w:rsid w:val="00440F12"/>
    <w:rsid w:val="0049399A"/>
    <w:rsid w:val="005C3E6B"/>
    <w:rsid w:val="00741ED9"/>
    <w:rsid w:val="00771375"/>
    <w:rsid w:val="007A1024"/>
    <w:rsid w:val="007F4E66"/>
    <w:rsid w:val="008F4894"/>
    <w:rsid w:val="00914C2E"/>
    <w:rsid w:val="00942846"/>
    <w:rsid w:val="00A3677B"/>
    <w:rsid w:val="00C81A9D"/>
    <w:rsid w:val="00D27A77"/>
    <w:rsid w:val="00D90F2D"/>
    <w:rsid w:val="00D972F2"/>
    <w:rsid w:val="00DC7004"/>
    <w:rsid w:val="00E847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B048"/>
  <w15:chartTrackingRefBased/>
  <w15:docId w15:val="{8DAAF52A-4D1F-4F7D-9E00-A3AA71D3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4E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4E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4E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4E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4E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4E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4EB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4E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34E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4EB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4EB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4EB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4EB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4EB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4EB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4EB5"/>
    <w:rPr>
      <w:rFonts w:eastAsiaTheme="majorEastAsia" w:cstheme="majorBidi"/>
      <w:color w:val="272727" w:themeColor="text1" w:themeTint="D8"/>
    </w:rPr>
  </w:style>
  <w:style w:type="paragraph" w:styleId="Titel">
    <w:name w:val="Title"/>
    <w:basedOn w:val="Normal"/>
    <w:next w:val="Normal"/>
    <w:link w:val="TitelTegn"/>
    <w:uiPriority w:val="10"/>
    <w:qFormat/>
    <w:rsid w:val="0023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4E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4EB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4EB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4EB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4EB5"/>
    <w:rPr>
      <w:i/>
      <w:iCs/>
      <w:color w:val="404040" w:themeColor="text1" w:themeTint="BF"/>
    </w:rPr>
  </w:style>
  <w:style w:type="paragraph" w:styleId="Listeafsnit">
    <w:name w:val="List Paragraph"/>
    <w:basedOn w:val="Normal"/>
    <w:uiPriority w:val="34"/>
    <w:qFormat/>
    <w:rsid w:val="00234EB5"/>
    <w:pPr>
      <w:ind w:left="720"/>
      <w:contextualSpacing/>
    </w:pPr>
  </w:style>
  <w:style w:type="character" w:styleId="Kraftigfremhvning">
    <w:name w:val="Intense Emphasis"/>
    <w:basedOn w:val="Standardskrifttypeiafsnit"/>
    <w:uiPriority w:val="21"/>
    <w:qFormat/>
    <w:rsid w:val="00234EB5"/>
    <w:rPr>
      <w:i/>
      <w:iCs/>
      <w:color w:val="0F4761" w:themeColor="accent1" w:themeShade="BF"/>
    </w:rPr>
  </w:style>
  <w:style w:type="paragraph" w:styleId="Strktcitat">
    <w:name w:val="Intense Quote"/>
    <w:basedOn w:val="Normal"/>
    <w:next w:val="Normal"/>
    <w:link w:val="StrktcitatTegn"/>
    <w:uiPriority w:val="30"/>
    <w:qFormat/>
    <w:rsid w:val="0023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4EB5"/>
    <w:rPr>
      <w:i/>
      <w:iCs/>
      <w:color w:val="0F4761" w:themeColor="accent1" w:themeShade="BF"/>
    </w:rPr>
  </w:style>
  <w:style w:type="character" w:styleId="Kraftighenvisning">
    <w:name w:val="Intense Reference"/>
    <w:basedOn w:val="Standardskrifttypeiafsnit"/>
    <w:uiPriority w:val="32"/>
    <w:qFormat/>
    <w:rsid w:val="00234EB5"/>
    <w:rPr>
      <w:b/>
      <w:bCs/>
      <w:smallCaps/>
      <w:color w:val="0F4761" w:themeColor="accent1" w:themeShade="BF"/>
      <w:spacing w:val="5"/>
    </w:rPr>
  </w:style>
  <w:style w:type="table" w:styleId="Tabel-Gitter">
    <w:name w:val="Table Grid"/>
    <w:basedOn w:val="Tabel-Normal"/>
    <w:uiPriority w:val="39"/>
    <w:rsid w:val="00D90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483</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Konto</dc:creator>
  <cp:keywords/>
  <dc:description/>
  <cp:lastModifiedBy>Administrator Konto</cp:lastModifiedBy>
  <cp:revision>3</cp:revision>
  <dcterms:created xsi:type="dcterms:W3CDTF">2026-03-29T14:10:00Z</dcterms:created>
  <dcterms:modified xsi:type="dcterms:W3CDTF">2026-03-29T14:14:00Z</dcterms:modified>
</cp:coreProperties>
</file>